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E27" w14:textId="407E5AE2" w:rsidR="0098115B" w:rsidRPr="004E2991" w:rsidRDefault="008007F5" w:rsidP="0098115B">
      <w:pPr>
        <w:pStyle w:val="LTAChapterHeading"/>
        <w:rPr>
          <w:sz w:val="52"/>
          <w:szCs w:val="36"/>
        </w:rPr>
      </w:pPr>
      <w:r>
        <w:rPr>
          <w:sz w:val="52"/>
          <w:szCs w:val="36"/>
        </w:rPr>
        <w:t xml:space="preserve">Tennis fopr Life  - </w:t>
      </w:r>
      <w:r w:rsidR="0098115B" w:rsidRPr="004E2991">
        <w:rPr>
          <w:sz w:val="52"/>
          <w:szCs w:val="36"/>
        </w:rPr>
        <w:t>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000000">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000000">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000000">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000000">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000000">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000000">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000000">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000000">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000000">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000000">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000000">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000000">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000000">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000000">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000000">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000000">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000000">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000000">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000000">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000000">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000000">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000000">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000000">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000000">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000000">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68573721" w14:textId="77777777" w:rsidR="00BB09A8" w:rsidRDefault="00BB09A8" w:rsidP="00BB09A8">
      <w:pPr>
        <w:rPr>
          <w:highlight w:val="green"/>
        </w:rPr>
      </w:pPr>
      <w:r w:rsidRPr="00634787">
        <w:rPr>
          <w:highlight w:val="green"/>
        </w:rPr>
        <w:t>Policy Owner: </w:t>
      </w:r>
    </w:p>
    <w:p w14:paraId="74EACB2C" w14:textId="77777777" w:rsidR="00BB09A8" w:rsidRPr="00634787" w:rsidRDefault="00BB09A8" w:rsidP="00BB09A8">
      <w:pPr>
        <w:rPr>
          <w:highlight w:val="green"/>
        </w:rPr>
      </w:pPr>
      <w:r w:rsidRPr="00634787">
        <w:rPr>
          <w:highlight w:val="green"/>
        </w:rPr>
        <w:t>Policy approved by: </w:t>
      </w:r>
    </w:p>
    <w:p w14:paraId="6E813D2F" w14:textId="77777777" w:rsidR="00BB09A8" w:rsidRPr="00634787" w:rsidRDefault="00BB09A8" w:rsidP="00BB09A8">
      <w:pPr>
        <w:rPr>
          <w:highlight w:val="green"/>
        </w:rPr>
      </w:pPr>
      <w:r w:rsidRPr="00634787">
        <w:rPr>
          <w:highlight w:val="green"/>
        </w:rPr>
        <w:t>Date Policy approved: </w:t>
      </w:r>
    </w:p>
    <w:p w14:paraId="71B172CA" w14:textId="6F152AFC" w:rsidR="00C13553" w:rsidRDefault="00BB09A8" w:rsidP="00BB09A8">
      <w:r w:rsidRPr="00634787">
        <w:rPr>
          <w:highlight w:val="green"/>
        </w:rPr>
        <w:t>Next review Date:</w:t>
      </w:r>
    </w:p>
    <w:p w14:paraId="6C3EC615" w14:textId="12B3CB55" w:rsidR="0098115B" w:rsidRPr="003602ED" w:rsidRDefault="0098115B" w:rsidP="00DB6248">
      <w:pPr>
        <w:jc w:val="both"/>
      </w:pPr>
      <w:r>
        <w:rPr>
          <w:rFonts w:cs="Arial"/>
          <w:b/>
          <w:sz w:val="24"/>
          <w:lang w:val="en-GB"/>
        </w:rPr>
        <w:br w:type="page"/>
      </w:r>
      <w:bookmarkStart w:id="0" w:name="_Toc126140382"/>
      <w:bookmarkStart w:id="1" w:name="_Toc126140417"/>
      <w:r w:rsidRPr="001F6046">
        <w:rPr>
          <w:highlight w:val="green"/>
        </w:rPr>
        <w:lastRenderedPageBreak/>
        <w:t>POLICY STATEMENT AND SCOPE</w:t>
      </w:r>
      <w:bookmarkEnd w:id="0"/>
      <w:bookmarkEnd w:id="1"/>
    </w:p>
    <w:p w14:paraId="3F4217CE" w14:textId="0564B9F5" w:rsidR="0098115B" w:rsidRDefault="00BB09A8" w:rsidP="0019129F">
      <w:pPr>
        <w:jc w:val="both"/>
        <w:rPr>
          <w:rFonts w:cs="Arial"/>
          <w:szCs w:val="22"/>
          <w:lang w:val="en-GB"/>
        </w:rPr>
      </w:pPr>
      <w:r>
        <w:rPr>
          <w:rFonts w:cs="Arial"/>
          <w:szCs w:val="22"/>
          <w:lang w:val="en-GB"/>
        </w:rPr>
        <w:t xml:space="preserve">Tennis for Life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02F4E2AA" w14:textId="77777777" w:rsidR="0098115B" w:rsidRDefault="003574F0" w:rsidP="0019129F">
            <w:pPr>
              <w:spacing w:after="160"/>
              <w:jc w:val="center"/>
              <w:rPr>
                <w:rFonts w:cs="Arial"/>
                <w:szCs w:val="22"/>
                <w:lang w:val="en-GB"/>
              </w:rPr>
            </w:pPr>
            <w:r>
              <w:rPr>
                <w:rFonts w:cs="Arial"/>
                <w:szCs w:val="22"/>
                <w:lang w:val="en-GB"/>
              </w:rPr>
              <w:t>Donna Andrews</w:t>
            </w:r>
          </w:p>
          <w:p w14:paraId="7B9C13A9" w14:textId="67407D37" w:rsidR="003574F0" w:rsidRDefault="003574F0" w:rsidP="0019129F">
            <w:pPr>
              <w:spacing w:after="160"/>
              <w:jc w:val="center"/>
              <w:rPr>
                <w:rFonts w:cs="Arial"/>
                <w:szCs w:val="22"/>
                <w:lang w:val="en-GB"/>
              </w:rPr>
            </w:pPr>
            <w:r>
              <w:rPr>
                <w:rFonts w:cs="Arial"/>
                <w:szCs w:val="22"/>
                <w:lang w:val="en-GB"/>
              </w:rPr>
              <w:t>Head Coach</w:t>
            </w:r>
          </w:p>
        </w:tc>
        <w:tc>
          <w:tcPr>
            <w:tcW w:w="4792" w:type="dxa"/>
          </w:tcPr>
          <w:p w14:paraId="2DAB2B50" w14:textId="5FE24AD1" w:rsidR="0098115B" w:rsidRPr="00BE68D2" w:rsidRDefault="003574F0" w:rsidP="0019129F">
            <w:pPr>
              <w:spacing w:after="160"/>
              <w:jc w:val="center"/>
              <w:rPr>
                <w:rFonts w:cs="Arial"/>
                <w:szCs w:val="22"/>
                <w:highlight w:val="yellow"/>
                <w:lang w:val="en-GB"/>
              </w:rPr>
            </w:pPr>
            <w:r>
              <w:rPr>
                <w:rFonts w:cs="Arial"/>
                <w:szCs w:val="22"/>
                <w:highlight w:val="yellow"/>
                <w:lang w:val="en-GB"/>
              </w:rPr>
              <w:t>Rachel Farrow</w:t>
            </w:r>
          </w:p>
          <w:p w14:paraId="1AA96BB7" w14:textId="77777777" w:rsidR="0098115B" w:rsidRDefault="0098115B" w:rsidP="0019129F">
            <w:pPr>
              <w:spacing w:after="160"/>
              <w:jc w:val="center"/>
              <w:rPr>
                <w:rFonts w:cs="Arial"/>
                <w:szCs w:val="22"/>
                <w:lang w:val="en-GB"/>
              </w:rPr>
            </w:pPr>
            <w:r w:rsidRPr="00B81E79">
              <w:rPr>
                <w:rFonts w:cs="Arial"/>
                <w:szCs w:val="22"/>
                <w:lang w:val="en-GB"/>
              </w:rPr>
              <w:t>Welfare Officer</w:t>
            </w:r>
          </w:p>
        </w:tc>
      </w:tr>
    </w:tbl>
    <w:p w14:paraId="1098CEC7" w14:textId="77777777" w:rsidR="003574F0" w:rsidRDefault="003574F0" w:rsidP="0019129F">
      <w:pPr>
        <w:pStyle w:val="Heading1"/>
        <w:jc w:val="both"/>
        <w:rPr>
          <w:highlight w:val="green"/>
        </w:rPr>
      </w:pPr>
      <w:bookmarkStart w:id="2" w:name="_Toc126140383"/>
      <w:bookmarkStart w:id="3" w:name="_Toc126140418"/>
    </w:p>
    <w:p w14:paraId="1B52041D" w14:textId="77777777" w:rsidR="00DB6248" w:rsidRDefault="00DB6248" w:rsidP="00DB6248">
      <w:pPr>
        <w:rPr>
          <w:highlight w:val="green"/>
          <w:lang w:val="en-GB"/>
        </w:rPr>
      </w:pPr>
    </w:p>
    <w:p w14:paraId="7443060D" w14:textId="77777777" w:rsidR="00DB6248" w:rsidRPr="00DB6248" w:rsidRDefault="00DB6248" w:rsidP="00DB6248">
      <w:pPr>
        <w:rPr>
          <w:highlight w:val="green"/>
          <w:lang w:val="en-GB"/>
        </w:rPr>
      </w:pPr>
    </w:p>
    <w:p w14:paraId="54DA55AF" w14:textId="77777777" w:rsidR="003574F0" w:rsidRDefault="003574F0" w:rsidP="0019129F">
      <w:pPr>
        <w:pStyle w:val="Heading1"/>
        <w:jc w:val="both"/>
        <w:rPr>
          <w:highlight w:val="green"/>
        </w:rPr>
      </w:pPr>
    </w:p>
    <w:p w14:paraId="45DE691D" w14:textId="5141655C" w:rsidR="0098115B" w:rsidRPr="0001041C" w:rsidRDefault="0098115B" w:rsidP="0019129F">
      <w:pPr>
        <w:pStyle w:val="Heading1"/>
        <w:jc w:val="both"/>
      </w:pPr>
      <w:r w:rsidRPr="001F6046">
        <w:rPr>
          <w:highlight w:val="green"/>
        </w:rPr>
        <w:lastRenderedPageBreak/>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w:t>
      </w:r>
      <w:proofErr w:type="gramStart"/>
      <w:r>
        <w:t>paramount</w:t>
      </w:r>
      <w:proofErr w:type="gramEnd"/>
      <w:r>
        <w:t xml:space="preserve"> </w:t>
      </w:r>
    </w:p>
    <w:p w14:paraId="660DF6F9" w14:textId="77777777" w:rsidR="0098115B" w:rsidRDefault="0098115B" w:rsidP="0019129F">
      <w:pPr>
        <w:pStyle w:val="ListParagraph"/>
        <w:numPr>
          <w:ilvl w:val="0"/>
          <w:numId w:val="4"/>
        </w:numPr>
        <w:jc w:val="both"/>
      </w:pPr>
      <w:r>
        <w:t xml:space="preserve">All children and adults at risk, regardless of age, disability, gender reassignment, race, religion or belief, sex, or sexual orientation have an equal right to protection from all types of harm or </w:t>
      </w:r>
      <w:proofErr w:type="gramStart"/>
      <w:r>
        <w:t>abuse</w:t>
      </w:r>
      <w:proofErr w:type="gramEnd"/>
    </w:p>
    <w:p w14:paraId="40C89E7A" w14:textId="77777777" w:rsidR="0098115B" w:rsidRDefault="0098115B" w:rsidP="0019129F">
      <w:pPr>
        <w:pStyle w:val="ListParagraph"/>
        <w:numPr>
          <w:ilvl w:val="0"/>
          <w:numId w:val="4"/>
        </w:numPr>
        <w:jc w:val="both"/>
      </w:pPr>
      <w:r>
        <w:t xml:space="preserve">Safeguarding is everybody’s </w:t>
      </w:r>
      <w:proofErr w:type="gramStart"/>
      <w:r>
        <w:t>responsibility</w:t>
      </w:r>
      <w:proofErr w:type="gramEnd"/>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w:t>
      </w:r>
      <w:proofErr w:type="gramStart"/>
      <w:r w:rsidRPr="0001041C">
        <w:t>appropriately</w:t>
      </w:r>
      <w:proofErr w:type="gramEnd"/>
      <w:r w:rsidRPr="0001041C">
        <w:t xml:space="preserve"> </w:t>
      </w:r>
    </w:p>
    <w:p w14:paraId="6FBDE864" w14:textId="77777777" w:rsidR="0098115B" w:rsidRDefault="0098115B" w:rsidP="0019129F">
      <w:pPr>
        <w:pStyle w:val="ListParagraph"/>
        <w:numPr>
          <w:ilvl w:val="0"/>
          <w:numId w:val="4"/>
        </w:numPr>
        <w:jc w:val="both"/>
      </w:pPr>
      <w:r>
        <w:t xml:space="preserve">We strive to create a culture and environment where everyone is empowered to protect themselves and others and feel able to raise </w:t>
      </w:r>
      <w:proofErr w:type="gramStart"/>
      <w:r>
        <w:t>concerns</w:t>
      </w:r>
      <w:proofErr w:type="gramEnd"/>
    </w:p>
    <w:p w14:paraId="63894A86" w14:textId="77777777" w:rsidR="0098115B" w:rsidRPr="008C7B5B" w:rsidRDefault="0098115B" w:rsidP="0019129F">
      <w:pPr>
        <w:pStyle w:val="ListParagraph"/>
        <w:numPr>
          <w:ilvl w:val="0"/>
          <w:numId w:val="4"/>
        </w:numPr>
        <w:jc w:val="both"/>
      </w:pPr>
      <w:r>
        <w:t xml:space="preserve">We actively promote working together to ensure all children and adults at risk are </w:t>
      </w:r>
      <w:proofErr w:type="gramStart"/>
      <w:r>
        <w:t>safeguarded</w:t>
      </w:r>
      <w:proofErr w:type="gramEnd"/>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t>RESPONSIBILITY FOR SAFEGUARDING</w:t>
      </w:r>
      <w:bookmarkEnd w:id="4"/>
      <w:bookmarkEnd w:id="5"/>
      <w:r w:rsidRPr="00C13553">
        <w:t xml:space="preserve"> </w:t>
      </w:r>
    </w:p>
    <w:p w14:paraId="13AFBAC8" w14:textId="18F0027C" w:rsidR="0098115B" w:rsidRPr="000E1D5D" w:rsidRDefault="0098115B" w:rsidP="0019129F">
      <w:pPr>
        <w:tabs>
          <w:tab w:val="left" w:pos="840"/>
        </w:tabs>
        <w:jc w:val="both"/>
        <w:rPr>
          <w:rFonts w:cs="Arial"/>
          <w:bCs/>
          <w:szCs w:val="22"/>
        </w:rPr>
      </w:pPr>
      <w:r w:rsidRPr="000E1D5D">
        <w:rPr>
          <w:rFonts w:cs="Arial"/>
          <w:bCs/>
          <w:szCs w:val="22"/>
        </w:rPr>
        <w:t xml:space="preserve">The </w:t>
      </w:r>
      <w:r w:rsidR="003574F0">
        <w:rPr>
          <w:rFonts w:cs="Arial"/>
          <w:bCs/>
          <w:szCs w:val="22"/>
        </w:rPr>
        <w:t>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31191769" w:rsidR="0098115B" w:rsidRDefault="0098115B" w:rsidP="0019129F">
      <w:pPr>
        <w:tabs>
          <w:tab w:val="left" w:pos="840"/>
        </w:tabs>
        <w:jc w:val="both"/>
      </w:pPr>
      <w:r>
        <w:t>We have an appointed Welfare Officer (WO) who holds operational responsibility for safeguarding in line with the LTA role profile and is supported by the</w:t>
      </w:r>
      <w:r w:rsidR="003574F0">
        <w:t xml:space="preserve"> 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2A8798EE" w:rsidR="0098115B" w:rsidRPr="0001041C" w:rsidRDefault="0098115B" w:rsidP="0019129F">
      <w:pPr>
        <w:tabs>
          <w:tab w:val="left" w:pos="840"/>
        </w:tabs>
        <w:jc w:val="both"/>
        <w:rPr>
          <w:highlight w:val="yellow"/>
        </w:rPr>
      </w:pPr>
      <w:r w:rsidRPr="0001041C">
        <w:rPr>
          <w:highlight w:val="yellow"/>
        </w:rPr>
        <w:t>[Name</w:t>
      </w:r>
      <w:r w:rsidR="003574F0">
        <w:rPr>
          <w:highlight w:val="yellow"/>
        </w:rPr>
        <w:tab/>
      </w:r>
      <w:r w:rsidR="003574F0">
        <w:rPr>
          <w:highlight w:val="yellow"/>
        </w:rPr>
        <w:tab/>
      </w:r>
      <w:r w:rsidR="003574F0">
        <w:rPr>
          <w:highlight w:val="yellow"/>
        </w:rPr>
        <w:tab/>
        <w:t>Rachel Farrow</w:t>
      </w:r>
    </w:p>
    <w:p w14:paraId="0C911AB5" w14:textId="3621D173" w:rsidR="0098115B" w:rsidRPr="0001041C" w:rsidRDefault="0098115B" w:rsidP="0019129F">
      <w:pPr>
        <w:tabs>
          <w:tab w:val="left" w:pos="840"/>
        </w:tabs>
        <w:jc w:val="both"/>
        <w:rPr>
          <w:highlight w:val="yellow"/>
        </w:rPr>
      </w:pPr>
      <w:r w:rsidRPr="0001041C">
        <w:rPr>
          <w:highlight w:val="yellow"/>
        </w:rPr>
        <w:t>Contact number</w:t>
      </w:r>
      <w:r w:rsidR="003574F0">
        <w:rPr>
          <w:highlight w:val="yellow"/>
        </w:rPr>
        <w:tab/>
        <w:t>07879438179</w:t>
      </w:r>
    </w:p>
    <w:p w14:paraId="35BA56EA" w14:textId="389F408B" w:rsidR="0098115B" w:rsidRDefault="0098115B" w:rsidP="0019129F">
      <w:pPr>
        <w:tabs>
          <w:tab w:val="left" w:pos="840"/>
        </w:tabs>
        <w:jc w:val="both"/>
      </w:pPr>
      <w:r w:rsidRPr="0001041C">
        <w:rPr>
          <w:highlight w:val="yellow"/>
        </w:rPr>
        <w:t>Email address]</w:t>
      </w:r>
      <w:r w:rsidR="003574F0">
        <w:tab/>
        <w:t>rachel@swafield.plus.com</w:t>
      </w:r>
    </w:p>
    <w:p w14:paraId="48A51B96" w14:textId="77777777" w:rsidR="0098115B" w:rsidRDefault="0098115B" w:rsidP="0019129F">
      <w:pPr>
        <w:tabs>
          <w:tab w:val="left" w:pos="840"/>
        </w:tabs>
        <w:jc w:val="both"/>
      </w:pPr>
    </w:p>
    <w:p w14:paraId="01201566" w14:textId="77777777"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r w:rsidRPr="00C34168">
        <w:rPr>
          <w:rStyle w:val="eop"/>
          <w:rFonts w:cs="Arial"/>
          <w:i/>
          <w:iCs/>
          <w:color w:val="000000" w:themeColor="text1"/>
          <w:szCs w:val="22"/>
        </w:rPr>
        <w:t xml:space="preserve">[note: you should have an alternative contact who concerns can be raised to – this can either be a deputy Welfare Officer with DBS and training, or it could be another person on the committee who acts as a point of contact for occasions when the Welfare Officer is away, e.g. on holiday, sick, </w:t>
      </w:r>
      <w:proofErr w:type="spellStart"/>
      <w:r w:rsidRPr="00C34168">
        <w:rPr>
          <w:rStyle w:val="eop"/>
          <w:rFonts w:cs="Arial"/>
          <w:i/>
          <w:iCs/>
          <w:color w:val="000000" w:themeColor="text1"/>
          <w:szCs w:val="22"/>
        </w:rPr>
        <w:t>etc</w:t>
      </w:r>
      <w:proofErr w:type="spellEnd"/>
      <w:r w:rsidRPr="00C34168">
        <w:rPr>
          <w:rStyle w:val="eop"/>
          <w:rFonts w:cs="Arial"/>
          <w:i/>
          <w:iCs/>
          <w:color w:val="000000" w:themeColor="text1"/>
          <w:szCs w:val="22"/>
        </w:rPr>
        <w:t>).</w:t>
      </w:r>
    </w:p>
    <w:p w14:paraId="46E19D9B" w14:textId="3B41CD4C" w:rsidR="0098115B" w:rsidRPr="0001041C" w:rsidRDefault="0098115B" w:rsidP="0019129F">
      <w:pPr>
        <w:tabs>
          <w:tab w:val="left" w:pos="840"/>
        </w:tabs>
        <w:jc w:val="both"/>
        <w:rPr>
          <w:highlight w:val="yellow"/>
        </w:rPr>
      </w:pPr>
      <w:r w:rsidRPr="0001041C">
        <w:rPr>
          <w:highlight w:val="yellow"/>
        </w:rPr>
        <w:t>[Name</w:t>
      </w:r>
      <w:r w:rsidR="003574F0">
        <w:rPr>
          <w:highlight w:val="yellow"/>
        </w:rPr>
        <w:tab/>
      </w:r>
      <w:r w:rsidR="003574F0">
        <w:rPr>
          <w:highlight w:val="yellow"/>
        </w:rPr>
        <w:tab/>
      </w:r>
      <w:r w:rsidR="003574F0">
        <w:rPr>
          <w:highlight w:val="yellow"/>
        </w:rPr>
        <w:tab/>
        <w:t>Donna Andrews</w:t>
      </w:r>
    </w:p>
    <w:p w14:paraId="58681BF3" w14:textId="7481B4AB" w:rsidR="0098115B" w:rsidRPr="0001041C" w:rsidRDefault="0098115B" w:rsidP="0019129F">
      <w:pPr>
        <w:tabs>
          <w:tab w:val="left" w:pos="840"/>
        </w:tabs>
        <w:jc w:val="both"/>
        <w:rPr>
          <w:highlight w:val="yellow"/>
        </w:rPr>
      </w:pPr>
      <w:r w:rsidRPr="0001041C">
        <w:rPr>
          <w:highlight w:val="yellow"/>
        </w:rPr>
        <w:t>Contact number</w:t>
      </w:r>
      <w:r w:rsidR="003574F0">
        <w:rPr>
          <w:highlight w:val="yellow"/>
        </w:rPr>
        <w:tab/>
        <w:t>07714474153</w:t>
      </w:r>
    </w:p>
    <w:p w14:paraId="2D051A03" w14:textId="44483861" w:rsidR="0098115B" w:rsidRDefault="0098115B" w:rsidP="0019129F">
      <w:pPr>
        <w:tabs>
          <w:tab w:val="left" w:pos="840"/>
        </w:tabs>
        <w:jc w:val="both"/>
      </w:pPr>
      <w:r w:rsidRPr="0001041C">
        <w:rPr>
          <w:highlight w:val="yellow"/>
        </w:rPr>
        <w:t>Email address]</w:t>
      </w:r>
      <w:r w:rsidR="003574F0">
        <w:tab/>
        <w:t>donna@tennisforlife.co.uk</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 xml:space="preserve">has strategic and operational responsibility for </w:t>
      </w:r>
      <w:proofErr w:type="gramStart"/>
      <w:r w:rsidRPr="000E5349">
        <w:t>safeguarding</w:t>
      </w:r>
      <w:r w:rsidRPr="00D13BA8">
        <w:t xml:space="preserve"> </w:t>
      </w:r>
      <w:r>
        <w:t>in</w:t>
      </w:r>
      <w:proofErr w:type="gramEnd"/>
      <w:r>
        <w:t xml:space="preserve">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19A07F1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Services </w:t>
      </w:r>
      <w:r w:rsidR="00DB6248">
        <w:rPr>
          <w:rStyle w:val="eop"/>
          <w:rFonts w:ascii="Arial" w:hAnsi="Arial" w:cs="Arial"/>
          <w:color w:val="000000" w:themeColor="text1"/>
          <w:sz w:val="22"/>
          <w:szCs w:val="22"/>
          <w:highlight w:val="yellow"/>
        </w:rPr>
        <w:t>03448008001</w:t>
      </w:r>
    </w:p>
    <w:p w14:paraId="42E55463" w14:textId="124F827C"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DB6248">
        <w:rPr>
          <w:rStyle w:val="eop"/>
          <w:rFonts w:ascii="Arial" w:hAnsi="Arial" w:cs="Arial"/>
          <w:color w:val="000000" w:themeColor="text1"/>
          <w:sz w:val="22"/>
          <w:szCs w:val="22"/>
        </w:rPr>
        <w:t>03448008020</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2E28D2AC" w14:textId="77777777" w:rsidR="00DB6248" w:rsidRDefault="00DB6248" w:rsidP="0019129F">
      <w:pPr>
        <w:pStyle w:val="Heading1"/>
        <w:jc w:val="both"/>
        <w:rPr>
          <w:highlight w:val="green"/>
        </w:rPr>
      </w:pPr>
      <w:bookmarkStart w:id="6" w:name="_Toc126140385"/>
      <w:bookmarkStart w:id="7" w:name="_Toc126140420"/>
    </w:p>
    <w:p w14:paraId="42055EC1" w14:textId="77777777" w:rsidR="00DB6248" w:rsidRDefault="00DB6248" w:rsidP="0019129F">
      <w:pPr>
        <w:pStyle w:val="Heading1"/>
        <w:jc w:val="both"/>
        <w:rPr>
          <w:highlight w:val="green"/>
        </w:rPr>
      </w:pPr>
    </w:p>
    <w:p w14:paraId="66B9F623" w14:textId="6F26E3FD" w:rsidR="0098115B" w:rsidRPr="003602ED" w:rsidRDefault="0098115B" w:rsidP="0019129F">
      <w:pPr>
        <w:pStyle w:val="Heading1"/>
        <w:jc w:val="both"/>
      </w:pPr>
      <w:r w:rsidRPr="001F6046">
        <w:rPr>
          <w:highlight w:val="green"/>
        </w:rPr>
        <w:lastRenderedPageBreak/>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 xml:space="preserve">from </w:t>
      </w:r>
      <w:proofErr w:type="gramStart"/>
      <w:r w:rsidRPr="0001041C">
        <w:rPr>
          <w:rFonts w:cs="Arial"/>
          <w:szCs w:val="22"/>
        </w:rPr>
        <w:t>harm</w:t>
      </w:r>
      <w:proofErr w:type="gramEnd"/>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 xml:space="preserve">necessary information to enable people to meet their safeguarding </w:t>
      </w:r>
      <w:proofErr w:type="gramStart"/>
      <w:r>
        <w:rPr>
          <w:rFonts w:cs="Arial"/>
          <w:szCs w:val="22"/>
        </w:rPr>
        <w:t>responsibilities</w:t>
      </w:r>
      <w:proofErr w:type="gramEnd"/>
    </w:p>
    <w:p w14:paraId="2E98F1DA" w14:textId="77777777" w:rsidR="0098115B" w:rsidRDefault="0098115B" w:rsidP="0019129F">
      <w:pPr>
        <w:pStyle w:val="ListParagraph"/>
        <w:numPr>
          <w:ilvl w:val="0"/>
          <w:numId w:val="3"/>
        </w:numPr>
        <w:jc w:val="both"/>
        <w:rPr>
          <w:rFonts w:cs="Arial"/>
          <w:szCs w:val="22"/>
        </w:rPr>
      </w:pPr>
      <w:r>
        <w:rPr>
          <w:rFonts w:cs="Arial"/>
          <w:szCs w:val="22"/>
        </w:rPr>
        <w:t xml:space="preserve">Deliver good practice and high safeguarding </w:t>
      </w:r>
      <w:proofErr w:type="gramStart"/>
      <w:r>
        <w:rPr>
          <w:rFonts w:cs="Arial"/>
          <w:szCs w:val="22"/>
        </w:rPr>
        <w:t>standards</w:t>
      </w:r>
      <w:proofErr w:type="gramEnd"/>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 xml:space="preserve">Outline our commitment to safeguarding children and adults at </w:t>
      </w:r>
      <w:proofErr w:type="gramStart"/>
      <w:r>
        <w:rPr>
          <w:rFonts w:cs="Arial"/>
          <w:szCs w:val="22"/>
        </w:rPr>
        <w:t>risk</w:t>
      </w:r>
      <w:proofErr w:type="gramEnd"/>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w:t>
      </w:r>
      <w:proofErr w:type="gramStart"/>
      <w:r>
        <w:t>requirements or</w:t>
      </w:r>
      <w:proofErr w:type="gramEnd"/>
      <w:r>
        <w:t xml:space="preserve">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lastRenderedPageBreak/>
        <w:t xml:space="preserve">An induction, which includes our safeguarding policies and procedures, reporting and recording arrangements, and details for the Welfare Officer, is also provided to all new staff, volunteers, </w:t>
      </w:r>
      <w:proofErr w:type="gramStart"/>
      <w:r>
        <w:t>coaches</w:t>
      </w:r>
      <w:proofErr w:type="gramEnd"/>
      <w:r>
        <w:t xml:space="preserve">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77777777"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9"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r w:rsidRPr="0001041C">
        <w:rPr>
          <w:highlight w:val="yellow"/>
        </w:rPr>
        <w:t xml:space="preserve">[If the venue </w:t>
      </w:r>
      <w:r>
        <w:rPr>
          <w:highlight w:val="yellow"/>
        </w:rPr>
        <w:t>wishes to use</w:t>
      </w:r>
      <w:r w:rsidRPr="0001041C">
        <w:rPr>
          <w:highlight w:val="yellow"/>
        </w:rPr>
        <w:t xml:space="preserve"> its own Code of Conduct, this </w:t>
      </w:r>
      <w:r>
        <w:rPr>
          <w:highlight w:val="yellow"/>
        </w:rPr>
        <w:t>should</w:t>
      </w:r>
      <w:r w:rsidRPr="0001041C">
        <w:rPr>
          <w:highlight w:val="yellow"/>
        </w:rPr>
        <w:t xml:space="preserve"> be </w:t>
      </w:r>
      <w:r>
        <w:rPr>
          <w:highlight w:val="yellow"/>
        </w:rPr>
        <w:t>added below in addition to the above wording</w:t>
      </w:r>
      <w:r w:rsidRPr="0001041C">
        <w:rPr>
          <w:highlight w:val="yellow"/>
        </w:rPr>
        <w:t>].</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w:t>
      </w:r>
      <w:proofErr w:type="gramStart"/>
      <w:r w:rsidRPr="0001041C">
        <w:t>place</w:t>
      </w:r>
      <w:proofErr w:type="gramEnd"/>
    </w:p>
    <w:p w14:paraId="4187DFCA" w14:textId="77777777" w:rsidR="0098115B" w:rsidRPr="0001041C" w:rsidRDefault="0098115B" w:rsidP="0019129F">
      <w:pPr>
        <w:pStyle w:val="ListParagraph"/>
        <w:numPr>
          <w:ilvl w:val="0"/>
          <w:numId w:val="11"/>
        </w:numPr>
        <w:jc w:val="both"/>
      </w:pPr>
      <w:r>
        <w:t>The adult at risk or child’s p</w:t>
      </w:r>
      <w:r w:rsidRPr="0001041C">
        <w:t xml:space="preserve">arents are informed of the destination, reason for the journey and who the driver will </w:t>
      </w:r>
      <w:proofErr w:type="gramStart"/>
      <w:r w:rsidRPr="0001041C">
        <w:t>be</w:t>
      </w:r>
      <w:proofErr w:type="gramEnd"/>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w:t>
      </w:r>
      <w:proofErr w:type="gramStart"/>
      <w:r w:rsidRPr="0001041C">
        <w:t>vehicle</w:t>
      </w:r>
      <w:proofErr w:type="gramEnd"/>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xml:space="preserve">, we will seek to have adults of matching gender where </w:t>
      </w:r>
      <w:proofErr w:type="gramStart"/>
      <w:r w:rsidRPr="0001041C">
        <w:t>possible</w:t>
      </w:r>
      <w:proofErr w:type="gramEnd"/>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xml:space="preserve">, correct insurance, MOT certificate and complies with laws on the use of seatbelts and </w:t>
      </w:r>
      <w:proofErr w:type="gramStart"/>
      <w:r w:rsidRPr="0001041C">
        <w:t>restraints</w:t>
      </w:r>
      <w:proofErr w:type="gramEnd"/>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4A4D1FB9" w:rsidR="0098115B" w:rsidRPr="004E2991" w:rsidRDefault="0098115B" w:rsidP="0019129F">
      <w:pPr>
        <w:jc w:val="both"/>
      </w:pPr>
      <w:r w:rsidRPr="0001041C">
        <w:t xml:space="preserve">Children under the age </w:t>
      </w:r>
      <w:r w:rsidRPr="004E2991">
        <w:t xml:space="preserve">of </w:t>
      </w:r>
      <w:r w:rsidR="00DB6248">
        <w:t>16</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0C7790AB"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DB6248">
        <w:t>14</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298BDF7F" w14:textId="77777777" w:rsidR="00DB6248" w:rsidRDefault="00DB6248" w:rsidP="0019129F">
      <w:pPr>
        <w:jc w:val="both"/>
        <w:rPr>
          <w:rStyle w:val="A10"/>
          <w:rFonts w:cs="Arial"/>
          <w:b w:val="0"/>
          <w:bCs w:val="0"/>
          <w:sz w:val="22"/>
          <w:szCs w:val="22"/>
          <w:lang w:val="en-GB"/>
        </w:rPr>
      </w:pPr>
    </w:p>
    <w:p w14:paraId="6F5B1946" w14:textId="77777777" w:rsidR="00DB6248" w:rsidRDefault="00DB6248" w:rsidP="0019129F">
      <w:pPr>
        <w:jc w:val="both"/>
        <w:rPr>
          <w:rStyle w:val="A10"/>
          <w:rFonts w:cs="Arial"/>
          <w:b w:val="0"/>
          <w:bCs w:val="0"/>
          <w:sz w:val="22"/>
          <w:szCs w:val="22"/>
          <w:lang w:val="en-GB"/>
        </w:rPr>
      </w:pPr>
    </w:p>
    <w:p w14:paraId="4334C542" w14:textId="77777777" w:rsidR="00DB6248" w:rsidRDefault="00DB6248" w:rsidP="0019129F">
      <w:pPr>
        <w:jc w:val="both"/>
        <w:rPr>
          <w:rStyle w:val="A10"/>
          <w:rFonts w:cs="Arial"/>
          <w:b w:val="0"/>
          <w:bCs w:val="0"/>
          <w:sz w:val="22"/>
          <w:szCs w:val="22"/>
          <w:lang w:val="en-GB"/>
        </w:rPr>
      </w:pPr>
    </w:p>
    <w:p w14:paraId="07201C51" w14:textId="77777777" w:rsidR="00DB6248" w:rsidRDefault="00DB6248" w:rsidP="0019129F">
      <w:pPr>
        <w:jc w:val="both"/>
        <w:rPr>
          <w:rStyle w:val="A10"/>
          <w:rFonts w:cs="Arial"/>
          <w:b w:val="0"/>
          <w:bCs w:val="0"/>
          <w:sz w:val="22"/>
          <w:szCs w:val="22"/>
          <w:lang w:val="en-GB"/>
        </w:rPr>
      </w:pPr>
    </w:p>
    <w:p w14:paraId="5542796C" w14:textId="77777777" w:rsidR="00DB6248" w:rsidRDefault="00DB6248" w:rsidP="0019129F">
      <w:pPr>
        <w:jc w:val="both"/>
        <w:rPr>
          <w:rStyle w:val="A10"/>
          <w:rFonts w:cs="Arial"/>
          <w:b w:val="0"/>
          <w:bCs w:val="0"/>
          <w:sz w:val="22"/>
          <w:szCs w:val="22"/>
          <w:lang w:val="en-GB"/>
        </w:rPr>
      </w:pPr>
    </w:p>
    <w:p w14:paraId="35D89B5B" w14:textId="75EB0C44"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lastRenderedPageBreak/>
        <w:t xml:space="preserve">For other activities, </w:t>
      </w:r>
      <w:proofErr w:type="gramStart"/>
      <w:r w:rsidRPr="0098115B">
        <w:rPr>
          <w:rStyle w:val="A10"/>
          <w:rFonts w:cs="Arial"/>
          <w:b w:val="0"/>
          <w:bCs w:val="0"/>
          <w:sz w:val="22"/>
          <w:szCs w:val="22"/>
          <w:lang w:val="en-GB"/>
        </w:rPr>
        <w:t>e.g.</w:t>
      </w:r>
      <w:proofErr w:type="gramEnd"/>
      <w:r w:rsidRPr="0098115B">
        <w:rPr>
          <w:rStyle w:val="A10"/>
          <w:rFonts w:cs="Arial"/>
          <w:b w:val="0"/>
          <w:bCs w:val="0"/>
          <w:sz w:val="22"/>
          <w:szCs w:val="22"/>
          <w:lang w:val="en-GB"/>
        </w:rPr>
        <w:t xml:space="preserve">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 xml:space="preserve">2:10 for children aged 11 and </w:t>
      </w:r>
      <w:proofErr w:type="gramStart"/>
      <w:r w:rsidRPr="0001041C">
        <w:t>over</w:t>
      </w:r>
      <w:proofErr w:type="gramEnd"/>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w:t>
      </w:r>
      <w:proofErr w:type="gramStart"/>
      <w:r w:rsidRPr="004312CC">
        <w:rPr>
          <w:szCs w:val="22"/>
        </w:rPr>
        <w:t>supervising</w:t>
      </w:r>
      <w:proofErr w:type="gramEnd"/>
      <w:r w:rsidRPr="004312CC">
        <w:rPr>
          <w:szCs w:val="22"/>
        </w:rPr>
        <w:t xml:space="preserve">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 xml:space="preserve">extend the abuse of position of trust offences to include where an adult is coaching, teaching, training, </w:t>
      </w:r>
      <w:proofErr w:type="gramStart"/>
      <w:r w:rsidRPr="004312CC">
        <w:rPr>
          <w:rFonts w:cs="Arial"/>
          <w:shd w:val="clear" w:color="auto" w:fill="FEFEFE"/>
        </w:rPr>
        <w:t>supervising</w:t>
      </w:r>
      <w:proofErr w:type="gramEnd"/>
      <w:r w:rsidRPr="004312CC">
        <w:rPr>
          <w:rFonts w:cs="Arial"/>
          <w:shd w:val="clear" w:color="auto" w:fill="FEFEFE"/>
        </w:rPr>
        <w:t xml:space="preserve">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w:t>
      </w:r>
      <w:proofErr w:type="gramStart"/>
      <w:r>
        <w:t>as it may be</w:t>
      </w:r>
      <w:proofErr w:type="gramEnd"/>
      <w:r>
        <w:t xml:space="preserv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7043C43" w14:textId="3EB94882" w:rsidR="0098115B" w:rsidRPr="00111F60" w:rsidRDefault="0098115B" w:rsidP="0019129F">
      <w:pPr>
        <w:jc w:val="both"/>
      </w:pPr>
      <w:r w:rsidRPr="00111F60">
        <w:lastRenderedPageBreak/>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w:t>
      </w:r>
      <w:proofErr w:type="gramStart"/>
      <w:r w:rsidRPr="0001041C">
        <w:t>protect</w:t>
      </w:r>
      <w:proofErr w:type="gramEnd"/>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w:t>
      </w:r>
      <w:proofErr w:type="gramStart"/>
      <w:r>
        <w:t>hidden</w:t>
      </w:r>
      <w:proofErr w:type="gramEnd"/>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w:t>
      </w:r>
      <w:proofErr w:type="gramStart"/>
      <w:r>
        <w:t>difficulties</w:t>
      </w:r>
      <w:proofErr w:type="gramEnd"/>
    </w:p>
    <w:p w14:paraId="2DA06E43" w14:textId="77777777" w:rsidR="0098115B" w:rsidRPr="0001041C" w:rsidRDefault="0098115B" w:rsidP="0019129F">
      <w:pPr>
        <w:pStyle w:val="ListParagraph"/>
        <w:numPr>
          <w:ilvl w:val="0"/>
          <w:numId w:val="6"/>
        </w:numPr>
        <w:jc w:val="both"/>
      </w:pPr>
      <w:r>
        <w:t xml:space="preserve">Be less able to resist either verbally or </w:t>
      </w:r>
      <w:proofErr w:type="gramStart"/>
      <w:r>
        <w:t>physically</w:t>
      </w:r>
      <w:proofErr w:type="gramEnd"/>
    </w:p>
    <w:p w14:paraId="7EB2BFF3" w14:textId="77777777" w:rsidR="0098115B" w:rsidRDefault="0098115B" w:rsidP="0019129F">
      <w:pPr>
        <w:pStyle w:val="ListParagraph"/>
        <w:numPr>
          <w:ilvl w:val="0"/>
          <w:numId w:val="6"/>
        </w:numPr>
        <w:jc w:val="both"/>
      </w:pPr>
      <w:r>
        <w:t>B</w:t>
      </w:r>
      <w:r w:rsidRPr="0001041C">
        <w:t xml:space="preserve">e dependent on the abuser for a service or basic </w:t>
      </w:r>
      <w:proofErr w:type="gramStart"/>
      <w:r w:rsidRPr="0001041C">
        <w:t>nee</w:t>
      </w:r>
      <w:r>
        <w:t>d</w:t>
      </w:r>
      <w:proofErr w:type="gramEnd"/>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w:t>
      </w:r>
      <w:proofErr w:type="gramStart"/>
      <w:r w:rsidRPr="0001041C">
        <w:t>injuries</w:t>
      </w:r>
      <w:proofErr w:type="gramEnd"/>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 xml:space="preserve">Personal circumstances away from tennis such as domestic violence, poverty, substance abuse, homelessness and social exclusion may also have an impact on vulnerability.   In addition, </w:t>
      </w:r>
      <w:proofErr w:type="gramStart"/>
      <w:r w:rsidRPr="004C6D87">
        <w:t>children</w:t>
      </w:r>
      <w:proofErr w:type="gramEnd"/>
      <w:r w:rsidRPr="004C6D87">
        <w:t xml:space="preserve">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 xml:space="preserve">due to their sexual orientation or gender </w:t>
      </w:r>
      <w:proofErr w:type="gramStart"/>
      <w:r>
        <w:t>identity</w:t>
      </w:r>
      <w:proofErr w:type="gramEnd"/>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w:t>
      </w:r>
      <w:proofErr w:type="gramStart"/>
      <w:r w:rsidRPr="0001041C">
        <w:t>racism</w:t>
      </w:r>
      <w:proofErr w:type="gramEnd"/>
      <w:r w:rsidRPr="0001041C">
        <w:t xml:space="preserve">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w:t>
      </w:r>
      <w:proofErr w:type="gramStart"/>
      <w:r w:rsidRPr="0001041C">
        <w:t>others</w:t>
      </w:r>
      <w:proofErr w:type="gramEnd"/>
      <w:r w:rsidRPr="0001041C">
        <w:t xml:space="preserve">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w:t>
      </w:r>
      <w:proofErr w:type="gramStart"/>
      <w:r w:rsidRPr="0001041C">
        <w:t>stereotyping</w:t>
      </w:r>
      <w:proofErr w:type="gramEnd"/>
      <w:r w:rsidRPr="0001041C">
        <w:t xml:space="preserve"> </w:t>
      </w:r>
    </w:p>
    <w:p w14:paraId="718111C1" w14:textId="77777777" w:rsidR="0098115B" w:rsidRDefault="0098115B" w:rsidP="0019129F">
      <w:pPr>
        <w:pStyle w:val="ListParagraph"/>
        <w:numPr>
          <w:ilvl w:val="0"/>
          <w:numId w:val="5"/>
        </w:numPr>
        <w:jc w:val="both"/>
      </w:pPr>
      <w:r w:rsidRPr="0001041C">
        <w:t xml:space="preserve">Be using or learning English as a second language and therefore find it more difficult to </w:t>
      </w:r>
      <w:proofErr w:type="gramStart"/>
      <w:r w:rsidRPr="0001041C">
        <w:t>communicate</w:t>
      </w:r>
      <w:proofErr w:type="gramEnd"/>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 xml:space="preserve">Have increased dependency on coaching and other support staff for funding, selection and </w:t>
      </w:r>
      <w:proofErr w:type="gramStart"/>
      <w:r>
        <w:t>progression</w:t>
      </w:r>
      <w:proofErr w:type="gramEnd"/>
    </w:p>
    <w:p w14:paraId="4C1AB39C" w14:textId="77777777" w:rsidR="0098115B" w:rsidRDefault="0098115B" w:rsidP="0019129F">
      <w:pPr>
        <w:pStyle w:val="ListParagraph"/>
        <w:numPr>
          <w:ilvl w:val="0"/>
          <w:numId w:val="29"/>
        </w:numPr>
        <w:jc w:val="both"/>
      </w:pPr>
      <w:r>
        <w:t xml:space="preserve">Be segregated from protective factors such as their family and peer </w:t>
      </w:r>
      <w:proofErr w:type="gramStart"/>
      <w:r>
        <w:t>groups</w:t>
      </w:r>
      <w:proofErr w:type="gramEnd"/>
    </w:p>
    <w:p w14:paraId="376956A4" w14:textId="77777777" w:rsidR="0098115B" w:rsidRDefault="0098115B" w:rsidP="0019129F">
      <w:pPr>
        <w:pStyle w:val="ListParagraph"/>
        <w:numPr>
          <w:ilvl w:val="0"/>
          <w:numId w:val="29"/>
        </w:numPr>
        <w:jc w:val="both"/>
      </w:pPr>
      <w:r>
        <w:t xml:space="preserve">Feel less able to report concerning behaviour due to a fear of impacting their sporting </w:t>
      </w:r>
      <w:proofErr w:type="gramStart"/>
      <w:r>
        <w:t>development</w:t>
      </w:r>
      <w:proofErr w:type="gramEnd"/>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 xml:space="preserve">Be subjected to intense training and pressure to play/succeed even when injured and achieve unrealistic image, body and weight </w:t>
      </w:r>
      <w:proofErr w:type="gramStart"/>
      <w:r>
        <w:t>expectations</w:t>
      </w:r>
      <w:proofErr w:type="gramEnd"/>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65F3F1B4" w14:textId="77777777" w:rsidR="00DB6248" w:rsidRDefault="00DB6248" w:rsidP="0019129F">
      <w:pPr>
        <w:jc w:val="both"/>
      </w:pPr>
    </w:p>
    <w:p w14:paraId="38E2618B" w14:textId="77777777" w:rsidR="00DB6248" w:rsidRDefault="00DB6248" w:rsidP="0019129F">
      <w:pPr>
        <w:jc w:val="both"/>
      </w:pPr>
    </w:p>
    <w:p w14:paraId="1D9C9569" w14:textId="77777777" w:rsidR="00DB6248" w:rsidRDefault="00DB6248" w:rsidP="0019129F">
      <w:pPr>
        <w:jc w:val="both"/>
      </w:pPr>
    </w:p>
    <w:p w14:paraId="78CF3D3F" w14:textId="5FC4D7ED"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 xml:space="preserve">Behaved in a way that has harmed a child or may have harmed a </w:t>
      </w:r>
      <w:proofErr w:type="gramStart"/>
      <w:r w:rsidRPr="00E942C6">
        <w:t>child</w:t>
      </w:r>
      <w:proofErr w:type="gramEnd"/>
    </w:p>
    <w:p w14:paraId="20F1AD5B" w14:textId="77777777" w:rsidR="0098115B" w:rsidRPr="00E942C6" w:rsidRDefault="0098115B" w:rsidP="0019129F">
      <w:pPr>
        <w:pStyle w:val="ListParagraph"/>
        <w:numPr>
          <w:ilvl w:val="0"/>
          <w:numId w:val="16"/>
        </w:numPr>
        <w:jc w:val="both"/>
      </w:pPr>
      <w:r w:rsidRPr="00E942C6">
        <w:t xml:space="preserve">Possibly committed a criminal oﬀence against a </w:t>
      </w:r>
      <w:proofErr w:type="gramStart"/>
      <w:r w:rsidRPr="00E942C6">
        <w:t>child</w:t>
      </w:r>
      <w:proofErr w:type="gramEnd"/>
    </w:p>
    <w:p w14:paraId="729440D7" w14:textId="77777777" w:rsidR="0098115B" w:rsidRPr="00E942C6" w:rsidRDefault="0098115B" w:rsidP="0019129F">
      <w:pPr>
        <w:pStyle w:val="ListParagraph"/>
        <w:numPr>
          <w:ilvl w:val="0"/>
          <w:numId w:val="16"/>
        </w:numPr>
        <w:jc w:val="both"/>
      </w:pPr>
      <w:r w:rsidRPr="00E942C6">
        <w:t xml:space="preserve">Behaved towards a child or children in a way that indicates they may pose a risk of harm to </w:t>
      </w:r>
      <w:proofErr w:type="gramStart"/>
      <w:r w:rsidRPr="00E942C6">
        <w:t>children</w:t>
      </w:r>
      <w:proofErr w:type="gramEnd"/>
    </w:p>
    <w:p w14:paraId="3C886E91" w14:textId="77777777" w:rsidR="0098115B" w:rsidRPr="00E942C6" w:rsidRDefault="0098115B" w:rsidP="0019129F">
      <w:pPr>
        <w:pStyle w:val="ListParagraph"/>
        <w:numPr>
          <w:ilvl w:val="0"/>
          <w:numId w:val="16"/>
        </w:numPr>
        <w:jc w:val="both"/>
      </w:pPr>
      <w:r w:rsidRPr="00E942C6">
        <w:t xml:space="preserve">Have behaved in a way in their personal life that raises safeguarding concerns. These concerns do not have to directly relate to a child but could, for example, include an arrest for possession of a </w:t>
      </w:r>
      <w:proofErr w:type="gramStart"/>
      <w:r w:rsidRPr="00E942C6">
        <w:t>weapon</w:t>
      </w:r>
      <w:proofErr w:type="gramEnd"/>
    </w:p>
    <w:p w14:paraId="59069142" w14:textId="77777777" w:rsidR="0098115B" w:rsidRPr="00E942C6" w:rsidRDefault="0098115B" w:rsidP="0019129F">
      <w:pPr>
        <w:pStyle w:val="ListParagraph"/>
        <w:numPr>
          <w:ilvl w:val="0"/>
          <w:numId w:val="16"/>
        </w:numPr>
        <w:jc w:val="both"/>
      </w:pPr>
      <w:r w:rsidRPr="00E942C6">
        <w:t xml:space="preserve">Have, as a parent or carer, become subject to child protection </w:t>
      </w:r>
      <w:proofErr w:type="gramStart"/>
      <w:r w:rsidRPr="00E942C6">
        <w:t>procedures</w:t>
      </w:r>
      <w:proofErr w:type="gramEnd"/>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 xml:space="preserve">Relates to their conduct outside of work which, even if not linked to a particular act or omission, has caused a sense of unease about that adult’s suitability to work with </w:t>
      </w:r>
      <w:proofErr w:type="gramStart"/>
      <w:r w:rsidRPr="00E942C6">
        <w:t>children</w:t>
      </w:r>
      <w:proofErr w:type="gramEnd"/>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w:t>
      </w:r>
      <w:proofErr w:type="gramStart"/>
      <w:r>
        <w:t>matter on</w:t>
      </w:r>
      <w:proofErr w:type="gramEnd"/>
      <w:r>
        <w:t xml:space="preserve">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lastRenderedPageBreak/>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w:t>
      </w:r>
      <w:proofErr w:type="gramStart"/>
      <w:r w:rsidRPr="008C222E">
        <w:t>said</w:t>
      </w:r>
      <w:proofErr w:type="gramEnd"/>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w:t>
      </w:r>
      <w:proofErr w:type="gramStart"/>
      <w:r w:rsidRPr="0049110F">
        <w:rPr>
          <w:rFonts w:cs="Arial"/>
          <w:szCs w:val="22"/>
        </w:rPr>
        <w:t>important</w:t>
      </w:r>
      <w:proofErr w:type="gramEnd"/>
      <w:r w:rsidRPr="0049110F">
        <w:rPr>
          <w:rFonts w:cs="Arial"/>
          <w:szCs w:val="22"/>
        </w:rPr>
        <w:t xml:space="preserve"> </w:t>
      </w:r>
    </w:p>
    <w:p w14:paraId="27748113" w14:textId="77777777" w:rsidR="0098115B" w:rsidRPr="008C222E" w:rsidRDefault="0098115B" w:rsidP="0019129F">
      <w:pPr>
        <w:pStyle w:val="ListParagraph"/>
        <w:numPr>
          <w:ilvl w:val="0"/>
          <w:numId w:val="28"/>
        </w:numPr>
        <w:jc w:val="both"/>
      </w:pPr>
      <w:r w:rsidRPr="008C222E">
        <w:t xml:space="preserve">Keep questions to a minimum, only ask questions if you need to identify/ clarify what the person is telling </w:t>
      </w:r>
      <w:proofErr w:type="gramStart"/>
      <w:r w:rsidRPr="008C222E">
        <w:t>you</w:t>
      </w:r>
      <w:proofErr w:type="gramEnd"/>
    </w:p>
    <w:p w14:paraId="3B888D7E" w14:textId="77777777" w:rsidR="0098115B" w:rsidRPr="008C222E" w:rsidRDefault="0098115B" w:rsidP="0019129F">
      <w:pPr>
        <w:pStyle w:val="ListParagraph"/>
        <w:numPr>
          <w:ilvl w:val="0"/>
          <w:numId w:val="28"/>
        </w:numPr>
        <w:jc w:val="both"/>
      </w:pPr>
      <w:r w:rsidRPr="008C222E">
        <w:t xml:space="preserve">Ask them what they would like to happen </w:t>
      </w:r>
      <w:proofErr w:type="gramStart"/>
      <w:r w:rsidRPr="008C222E">
        <w:t>next</w:t>
      </w:r>
      <w:proofErr w:type="gramEnd"/>
    </w:p>
    <w:p w14:paraId="00A90194" w14:textId="77777777" w:rsidR="0098115B" w:rsidRPr="008C222E" w:rsidRDefault="0098115B" w:rsidP="0019129F">
      <w:pPr>
        <w:pStyle w:val="ListParagraph"/>
        <w:numPr>
          <w:ilvl w:val="0"/>
          <w:numId w:val="28"/>
        </w:numPr>
        <w:jc w:val="both"/>
      </w:pPr>
      <w:r w:rsidRPr="008C222E">
        <w:t xml:space="preserve">Explain what you would like to do </w:t>
      </w:r>
      <w:proofErr w:type="gramStart"/>
      <w:r w:rsidRPr="008C222E">
        <w:t>next</w:t>
      </w:r>
      <w:proofErr w:type="gramEnd"/>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 xml:space="preserve">let doubt/personal bias prevent you from reporting the </w:t>
      </w:r>
      <w:proofErr w:type="gramStart"/>
      <w:r w:rsidRPr="0049110F">
        <w:rPr>
          <w:rFonts w:cs="Arial"/>
          <w:szCs w:val="22"/>
        </w:rPr>
        <w:t>allegation</w:t>
      </w:r>
      <w:proofErr w:type="gramEnd"/>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w:t>
      </w:r>
      <w:proofErr w:type="gramStart"/>
      <w:r w:rsidRPr="008C222E">
        <w:t>e.g.</w:t>
      </w:r>
      <w:proofErr w:type="gramEnd"/>
      <w:r w:rsidRPr="008C222E">
        <w:t xml:space="preserve">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w:t>
      </w:r>
      <w:proofErr w:type="gramStart"/>
      <w:r w:rsidRPr="00454B29">
        <w:t>met</w:t>
      </w:r>
      <w:proofErr w:type="gramEnd"/>
      <w:r w:rsidRPr="00454B29">
        <w:t xml:space="preserve">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 xml:space="preserve">in a conversation about how best to respond to their situation in a way that enhances their involvement, </w:t>
      </w:r>
      <w:proofErr w:type="gramStart"/>
      <w:r w:rsidRPr="00152B83">
        <w:rPr>
          <w:rFonts w:cs="Poppins"/>
          <w:color w:val="000000" w:themeColor="text1"/>
        </w:rPr>
        <w:t>choice</w:t>
      </w:r>
      <w:proofErr w:type="gramEnd"/>
      <w:r w:rsidRPr="00152B83">
        <w:rPr>
          <w:rFonts w:cs="Poppins"/>
          <w:color w:val="000000" w:themeColor="text1"/>
        </w:rPr>
        <w:t xml:space="preserv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w:t>
      </w:r>
      <w:proofErr w:type="gramStart"/>
      <w:r w:rsidRPr="00152B83">
        <w:rPr>
          <w:rFonts w:cs="Poppins"/>
          <w:color w:val="000000" w:themeColor="text1"/>
        </w:rPr>
        <w:t>dignity</w:t>
      </w:r>
      <w:proofErr w:type="gramEnd"/>
      <w:r w:rsidRPr="00152B83">
        <w:rPr>
          <w:rFonts w:cs="Poppins"/>
          <w:color w:val="000000" w:themeColor="text1"/>
        </w:rPr>
        <w:t xml:space="preserve">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proofErr w:type="gramStart"/>
      <w:r w:rsidRPr="00152B83">
        <w:rPr>
          <w:rFonts w:cs="Poppins"/>
        </w:rPr>
        <w:t>the support</w:t>
      </w:r>
      <w:proofErr w:type="gramEnd"/>
      <w:r w:rsidRPr="00152B83">
        <w:rPr>
          <w:rFonts w:cs="Poppins"/>
        </w:rPr>
        <w:t xml:space="preserve">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w:t>
      </w:r>
      <w:proofErr w:type="gramStart"/>
      <w:r w:rsidRPr="00F0258D">
        <w:rPr>
          <w:rFonts w:cs="Poppins"/>
          <w:color w:val="000000" w:themeColor="text1"/>
        </w:rPr>
        <w:t>i.e.</w:t>
      </w:r>
      <w:proofErr w:type="gramEnd"/>
      <w:r w:rsidRPr="00F0258D">
        <w:rPr>
          <w:rFonts w:cs="Poppins"/>
          <w:color w:val="000000" w:themeColor="text1"/>
        </w:rPr>
        <w:t xml:space="preserv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we believe they or someone else is at risk, including </w:t>
      </w:r>
      <w:proofErr w:type="gramStart"/>
      <w:r w:rsidRPr="00F0258D">
        <w:rPr>
          <w:rFonts w:cs="Poppins"/>
          <w:color w:val="000000" w:themeColor="text1"/>
        </w:rPr>
        <w:t>children</w:t>
      </w:r>
      <w:proofErr w:type="gramEnd"/>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w:t>
      </w:r>
      <w:proofErr w:type="gramStart"/>
      <w:r w:rsidRPr="00F0258D">
        <w:rPr>
          <w:rFonts w:cs="Poppins"/>
          <w:color w:val="000000" w:themeColor="text1"/>
        </w:rPr>
        <w:t>duress</w:t>
      </w:r>
      <w:proofErr w:type="gramEnd"/>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it is necessary to contact the police to prevent a crime, or to report that a serious crime has been </w:t>
      </w:r>
      <w:proofErr w:type="gramStart"/>
      <w:r w:rsidRPr="00F0258D">
        <w:rPr>
          <w:rFonts w:cs="Poppins"/>
          <w:color w:val="000000" w:themeColor="text1"/>
        </w:rPr>
        <w:t>committed</w:t>
      </w:r>
      <w:proofErr w:type="gramEnd"/>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 xml:space="preserve">does not have mental capacity to consent to information being shared about </w:t>
      </w:r>
      <w:proofErr w:type="gramStart"/>
      <w:r w:rsidRPr="00F0258D">
        <w:rPr>
          <w:rFonts w:cs="Poppins"/>
          <w:color w:val="000000" w:themeColor="text1"/>
        </w:rPr>
        <w:t>them</w:t>
      </w:r>
      <w:proofErr w:type="gramEnd"/>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lastRenderedPageBreak/>
        <w:t xml:space="preserve">the person causing harm has care and support </w:t>
      </w:r>
      <w:proofErr w:type="gramStart"/>
      <w:r w:rsidRPr="00F0258D">
        <w:rPr>
          <w:rFonts w:cs="Poppins"/>
          <w:color w:val="000000" w:themeColor="text1"/>
        </w:rPr>
        <w:t>needs</w:t>
      </w:r>
      <w:proofErr w:type="gramEnd"/>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w:t>
      </w:r>
      <w:proofErr w:type="gramStart"/>
      <w:r w:rsidRPr="00F0258D">
        <w:rPr>
          <w:rFonts w:cs="Poppins"/>
          <w:color w:val="000000" w:themeColor="text1"/>
        </w:rPr>
        <w:t>them</w:t>
      </w:r>
      <w:proofErr w:type="gramEnd"/>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w:t>
      </w:r>
      <w:proofErr w:type="gramStart"/>
      <w:r>
        <w:t>assure</w:t>
      </w:r>
      <w:proofErr w:type="gramEnd"/>
      <w:r>
        <w:t xml:space="preserv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lastRenderedPageBreak/>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w:t>
      </w:r>
      <w:proofErr w:type="gramStart"/>
      <w:r w:rsidRPr="0001041C">
        <w:t>practice</w:t>
      </w:r>
      <w:proofErr w:type="gramEnd"/>
      <w:r w:rsidRPr="0001041C">
        <w:t xml:space="preserve"> which is for long term (</w:t>
      </w:r>
      <w:proofErr w:type="gramStart"/>
      <w:r w:rsidRPr="0001041C">
        <w:t>e.g.</w:t>
      </w:r>
      <w:proofErr w:type="gramEnd"/>
      <w:r w:rsidRPr="0001041C">
        <w:t xml:space="preserve">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 xml:space="preserve">your or another organisation doesn’t have clear safeguarding procedures to </w:t>
      </w:r>
      <w:proofErr w:type="gramStart"/>
      <w:r w:rsidRPr="00B81E79">
        <w:t>follow</w:t>
      </w:r>
      <w:proofErr w:type="gramEnd"/>
    </w:p>
    <w:p w14:paraId="0741CD9C" w14:textId="77777777" w:rsidR="0098115B" w:rsidRPr="00B81E79" w:rsidRDefault="0098115B" w:rsidP="0019129F">
      <w:pPr>
        <w:pStyle w:val="ListParagraph"/>
        <w:numPr>
          <w:ilvl w:val="0"/>
          <w:numId w:val="7"/>
        </w:numPr>
        <w:jc w:val="both"/>
      </w:pPr>
      <w:r w:rsidRPr="00B81E79">
        <w:t xml:space="preserve">concerns aren’t dealt with properly or may be covered </w:t>
      </w:r>
      <w:proofErr w:type="gramStart"/>
      <w:r w:rsidRPr="00B81E79">
        <w:t>up</w:t>
      </w:r>
      <w:proofErr w:type="gramEnd"/>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 xml:space="preserve">Criminal offences, including </w:t>
      </w:r>
      <w:proofErr w:type="gramStart"/>
      <w:r w:rsidRPr="001778CF">
        <w:t>fraud</w:t>
      </w:r>
      <w:proofErr w:type="gramEnd"/>
    </w:p>
    <w:p w14:paraId="2B3A89E4" w14:textId="77777777" w:rsidR="0098115B" w:rsidRPr="001778CF" w:rsidRDefault="0098115B" w:rsidP="0019129F">
      <w:pPr>
        <w:pStyle w:val="ListParagraph"/>
        <w:numPr>
          <w:ilvl w:val="0"/>
          <w:numId w:val="15"/>
        </w:numPr>
        <w:jc w:val="both"/>
      </w:pPr>
      <w:r w:rsidRPr="001778CF">
        <w:t xml:space="preserve">Failure to comply with a legal </w:t>
      </w:r>
      <w:proofErr w:type="gramStart"/>
      <w:r w:rsidRPr="001778CF">
        <w:t>obligation</w:t>
      </w:r>
      <w:proofErr w:type="gramEnd"/>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 xml:space="preserve">Endangering someone’s health and </w:t>
      </w:r>
      <w:proofErr w:type="gramStart"/>
      <w:r w:rsidRPr="001778CF">
        <w:t>safety</w:t>
      </w:r>
      <w:proofErr w:type="gramEnd"/>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 xml:space="preserve">Safeguarding at events, </w:t>
      </w:r>
      <w:proofErr w:type="gramStart"/>
      <w:r w:rsidRPr="00D6042A">
        <w:rPr>
          <w:rFonts w:cs="Arial"/>
          <w:szCs w:val="22"/>
        </w:rPr>
        <w:t>activities</w:t>
      </w:r>
      <w:proofErr w:type="gramEnd"/>
      <w:r w:rsidRPr="00D6042A">
        <w:rPr>
          <w:rFonts w:cs="Arial"/>
          <w:szCs w:val="22"/>
        </w:rPr>
        <w:t xml:space="preserve">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lastRenderedPageBreak/>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w:t>
      </w:r>
      <w:proofErr w:type="gramStart"/>
      <w:r>
        <w:t>suffering,</w:t>
      </w:r>
      <w:proofErr w:type="gramEnd"/>
      <w:r>
        <w:t xml:space="preserve">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 xml:space="preserve">people working or volunteering in organisational or community </w:t>
      </w:r>
      <w:proofErr w:type="gramStart"/>
      <w:r>
        <w:t>settings</w:t>
      </w:r>
      <w:proofErr w:type="gramEnd"/>
    </w:p>
    <w:p w14:paraId="34265819" w14:textId="77777777" w:rsidR="0098115B" w:rsidRDefault="0098115B" w:rsidP="0019129F">
      <w:pPr>
        <w:pStyle w:val="ListParagraph"/>
        <w:numPr>
          <w:ilvl w:val="0"/>
          <w:numId w:val="14"/>
        </w:numPr>
        <w:jc w:val="both"/>
      </w:pPr>
      <w:r>
        <w:t xml:space="preserve">people they </w:t>
      </w:r>
      <w:proofErr w:type="gramStart"/>
      <w:r>
        <w:t>know</w:t>
      </w:r>
      <w:proofErr w:type="gramEnd"/>
    </w:p>
    <w:p w14:paraId="3E0E95F1" w14:textId="77777777" w:rsidR="0098115B" w:rsidRDefault="0098115B" w:rsidP="0019129F">
      <w:pPr>
        <w:pStyle w:val="ListParagraph"/>
        <w:numPr>
          <w:ilvl w:val="0"/>
          <w:numId w:val="14"/>
        </w:numPr>
        <w:jc w:val="both"/>
      </w:pPr>
      <w:r w:rsidRPr="004D2CE3">
        <w:lastRenderedPageBreak/>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w:t>
      </w:r>
      <w:proofErr w:type="gramStart"/>
      <w:r w:rsidRPr="00DB0B55">
        <w:t>sessions</w:t>
      </w:r>
      <w:proofErr w:type="gramEnd"/>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 xml:space="preserve">ack or growth or </w:t>
      </w:r>
      <w:proofErr w:type="gramStart"/>
      <w:r w:rsidRPr="00571B47">
        <w:t>development</w:t>
      </w:r>
      <w:proofErr w:type="gramEnd"/>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w:t>
      </w:r>
      <w:proofErr w:type="gramStart"/>
      <w:r>
        <w:t>burning</w:t>
      </w:r>
      <w:proofErr w:type="gramEnd"/>
      <w:r>
        <w:t xml:space="preserve">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w:t>
      </w:r>
      <w:proofErr w:type="gramStart"/>
      <w:r w:rsidRPr="0001041C">
        <w:rPr>
          <w:rFonts w:cs="Arial"/>
          <w:szCs w:val="22"/>
          <w:lang w:val="en-GB" w:eastAsia="en-GB"/>
        </w:rPr>
        <w:t>rubbing</w:t>
      </w:r>
      <w:proofErr w:type="gramEnd"/>
      <w:r w:rsidRPr="0001041C">
        <w:rPr>
          <w:rFonts w:cs="Arial"/>
          <w:szCs w:val="22"/>
          <w:lang w:val="en-GB" w:eastAsia="en-GB"/>
        </w:rPr>
        <w:t xml:space="preserve">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 xml:space="preserve">Abusers may threaten to send sexually explicit images, </w:t>
      </w:r>
      <w:proofErr w:type="gramStart"/>
      <w:r>
        <w:t>video</w:t>
      </w:r>
      <w:proofErr w:type="gramEnd"/>
      <w:r>
        <w:t xml:space="preserve">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w:t>
      </w:r>
      <w:proofErr w:type="gramStart"/>
      <w:r>
        <w:t>violence</w:t>
      </w:r>
      <w:proofErr w:type="gramEnd"/>
      <w:r>
        <w:t xml:space="preserve"> or abuse between people who are, or who have been in a relationship, regardless of gender or sexuality. It can include physical, sexual, psychological, </w:t>
      </w:r>
      <w:proofErr w:type="gramStart"/>
      <w:r>
        <w:t>emotional</w:t>
      </w:r>
      <w:proofErr w:type="gramEnd"/>
      <w:r>
        <w:t xml:space="preserve">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individual’s ethnic origin, colour, nationality, race, religion or belief, gender, gender reassignment, sexual </w:t>
      </w:r>
      <w:proofErr w:type="gramStart"/>
      <w:r w:rsidRPr="00B81E79">
        <w:rPr>
          <w:rFonts w:cs="Arial"/>
          <w:szCs w:val="22"/>
          <w:lang w:val="en-GB" w:eastAsia="en-GB"/>
        </w:rPr>
        <w:lastRenderedPageBreak/>
        <w:t>orientation</w:t>
      </w:r>
      <w:proofErr w:type="gramEnd"/>
      <w:r w:rsidRPr="00B81E79">
        <w:rPr>
          <w:rFonts w:cs="Arial"/>
          <w:szCs w:val="22"/>
          <w:lang w:val="en-GB" w:eastAsia="en-GB"/>
        </w:rPr>
        <w:t xml:space="preserve"> or disability. Actions may include unfair or less favourable treatment, culturally insensitive comments, </w:t>
      </w:r>
      <w:proofErr w:type="gramStart"/>
      <w:r w:rsidRPr="00B81E79">
        <w:rPr>
          <w:rFonts w:cs="Arial"/>
          <w:szCs w:val="22"/>
          <w:lang w:val="en-GB" w:eastAsia="en-GB"/>
        </w:rPr>
        <w:t>insults</w:t>
      </w:r>
      <w:proofErr w:type="gramEnd"/>
      <w:r w:rsidRPr="00B81E79">
        <w:rPr>
          <w:rFonts w:cs="Arial"/>
          <w:szCs w:val="22"/>
          <w:lang w:val="en-GB" w:eastAsia="en-GB"/>
        </w:rPr>
        <w:t xml:space="preserve">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737CEC">
        <w:rPr>
          <w:szCs w:val="20"/>
        </w:rPr>
        <w:t>organisation</w:t>
      </w:r>
      <w:proofErr w:type="spellEnd"/>
      <w:proofErr w:type="gram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 xml:space="preserve">Includes theft, fraud, internet scamming, and coercion in relation to an adult’s financial affairs or arrangements, including in connection with wills, property, </w:t>
      </w:r>
      <w:proofErr w:type="gramStart"/>
      <w:r w:rsidRPr="00737CEC">
        <w:rPr>
          <w:szCs w:val="20"/>
        </w:rPr>
        <w:t>inheritance</w:t>
      </w:r>
      <w:proofErr w:type="gramEnd"/>
      <w:r w:rsidRPr="00737CEC">
        <w:rPr>
          <w:szCs w:val="20"/>
        </w:rPr>
        <w:t xml:space="preserv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w:t>
      </w:r>
      <w:proofErr w:type="gramStart"/>
      <w:r>
        <w:t>children</w:t>
      </w:r>
      <w:proofErr w:type="gramEnd"/>
      <w:r>
        <w:t xml:space="preserve">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t>disabled</w:t>
      </w:r>
      <w:proofErr w:type="gramEnd"/>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 xml:space="preserve">Repeated behaviour intended to intimidate or upset a child and/or make them feel uncomfortable or unsafe, for example, name calling, exclusion or isolation, spreading rumours, embarrassing someone in public or in front of their peers, threatening to cause harm, physically hurting </w:t>
      </w:r>
      <w:proofErr w:type="gramStart"/>
      <w:r w:rsidRPr="006463A5">
        <w:rPr>
          <w:rFonts w:cs="Arial"/>
          <w:szCs w:val="22"/>
          <w:lang w:val="en-GB" w:eastAsia="en-GB"/>
        </w:rPr>
        <w:t>someone</w:t>
      </w:r>
      <w:proofErr w:type="gramEnd"/>
      <w:r w:rsidRPr="006463A5">
        <w:rPr>
          <w:rFonts w:cs="Arial"/>
          <w:szCs w:val="22"/>
          <w:lang w:val="en-GB" w:eastAsia="en-GB"/>
        </w:rPr>
        <w:t xml:space="preserv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w:t>
      </w:r>
      <w:proofErr w:type="gramStart"/>
      <w:r w:rsidRPr="006463A5">
        <w:rPr>
          <w:rFonts w:cs="Arial"/>
          <w:szCs w:val="22"/>
          <w:lang w:val="en-GB" w:eastAsia="en-GB"/>
        </w:rPr>
        <w:t>rumours</w:t>
      </w:r>
      <w:proofErr w:type="gramEnd"/>
      <w:r w:rsidRPr="006463A5">
        <w:rPr>
          <w:rFonts w:cs="Arial"/>
          <w:szCs w:val="22"/>
          <w:lang w:val="en-GB" w:eastAsia="en-GB"/>
        </w:rPr>
        <w:t xml:space="preserve">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lastRenderedPageBreak/>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w:t>
      </w:r>
      <w:proofErr w:type="gramStart"/>
      <w:r w:rsidRPr="00AF721D">
        <w:t>intentionally</w:t>
      </w:r>
      <w:proofErr w:type="gramEnd"/>
      <w:r w:rsidRPr="00AF721D">
        <w:t xml:space="preserve">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w:t>
      </w:r>
      <w:proofErr w:type="gramStart"/>
      <w:r w:rsidRPr="0001041C">
        <w:t>abuse</w:t>
      </w:r>
      <w:proofErr w:type="gramEnd"/>
      <w:r w:rsidRPr="0001041C">
        <w:t>.</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w:t>
      </w:r>
      <w:proofErr w:type="gramStart"/>
      <w:r w:rsidRPr="00B81E79">
        <w:t>aware,</w:t>
      </w:r>
      <w:proofErr w:type="gramEnd"/>
      <w:r w:rsidRPr="00B81E79">
        <w:t xml:space="preserv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 xml:space="preserve">Children can be taken advantage of or harmed by their peers. Peer-on-peer abuse is any form of physical, sexual, </w:t>
      </w:r>
      <w:proofErr w:type="gramStart"/>
      <w:r w:rsidRPr="00576481">
        <w:rPr>
          <w:rFonts w:cs="Arial"/>
          <w:szCs w:val="22"/>
          <w:lang w:val="en-GB" w:eastAsia="en-GB"/>
        </w:rPr>
        <w:t>emotional</w:t>
      </w:r>
      <w:proofErr w:type="gramEnd"/>
      <w:r w:rsidRPr="00576481">
        <w:rPr>
          <w:rFonts w:cs="Arial"/>
          <w:szCs w:val="22"/>
          <w:lang w:val="en-GB" w:eastAsia="en-GB"/>
        </w:rPr>
        <w:t xml:space="preserve">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w:t>
      </w:r>
      <w:proofErr w:type="gramStart"/>
      <w:r w:rsidRPr="00361DB3">
        <w:t>e.g.</w:t>
      </w:r>
      <w:proofErr w:type="gramEnd"/>
      <w:r w:rsidRPr="00361DB3">
        <w:t xml:space="preserve">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000000"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proofErr w:type="gramStart"/>
      <w:r w:rsidRPr="00C21B93">
        <w:rPr>
          <w:rFonts w:cs="Arial"/>
          <w:color w:val="0000FF"/>
          <w:szCs w:val="22"/>
          <w:lang w:val="en-GB" w:eastAsia="en-GB"/>
        </w:rPr>
        <w:t>https://www.childline.org.uk/about/about-childline/</w:t>
      </w:r>
      <w:proofErr w:type="gramEnd"/>
      <w:r w:rsidRPr="00C21B93">
        <w:rPr>
          <w:rFonts w:cs="Arial"/>
          <w:color w:val="0000FF"/>
          <w:szCs w:val="22"/>
          <w:lang w:val="en-GB" w:eastAsia="en-GB"/>
        </w:rPr>
        <w:t xml:space="preserv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w:t>
      </w:r>
      <w:proofErr w:type="gramStart"/>
      <w:r w:rsidRPr="006933FB">
        <w:rPr>
          <w:rFonts w:cs="Arial"/>
          <w:color w:val="000000"/>
          <w:szCs w:val="22"/>
          <w:lang w:val="en-GB" w:eastAsia="en-GB"/>
        </w:rPr>
        <w:t>support</w:t>
      </w:r>
      <w:proofErr w:type="gramEnd"/>
      <w:r w:rsidRPr="006933FB">
        <w:rPr>
          <w:rFonts w:cs="Arial"/>
          <w:color w:val="000000"/>
          <w:szCs w:val="22"/>
          <w:lang w:val="en-GB" w:eastAsia="en-GB"/>
        </w:rPr>
        <w:t xml:space="preserve">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w:t>
      </w:r>
      <w:proofErr w:type="gramStart"/>
      <w:r w:rsidRPr="00C21B93">
        <w:rPr>
          <w:rFonts w:cs="Arial"/>
          <w:color w:val="000000"/>
          <w:szCs w:val="22"/>
          <w:lang w:val="en-GB" w:eastAsia="en-GB"/>
        </w:rPr>
        <w:t>guidance</w:t>
      </w:r>
      <w:proofErr w:type="gramEnd"/>
      <w:r w:rsidRPr="00C21B93">
        <w:rPr>
          <w:rFonts w:cs="Arial"/>
          <w:color w:val="000000"/>
          <w:szCs w:val="22"/>
          <w:lang w:val="en-GB" w:eastAsia="en-GB"/>
        </w:rPr>
        <w:t xml:space="preserv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 xml:space="preserve">The NSPCC can </w:t>
      </w:r>
      <w:proofErr w:type="gramStart"/>
      <w:r w:rsidRPr="00AD749E">
        <w:t>support with</w:t>
      </w:r>
      <w:proofErr w:type="gramEnd"/>
      <w:r w:rsidRPr="00AD749E">
        <w:t xml:space="preserve"> any concerns about a child’s safety or wellbeing</w:t>
      </w:r>
      <w:r>
        <w:t>.</w:t>
      </w:r>
      <w:r w:rsidRPr="00AD749E">
        <w:t xml:space="preserve"> </w:t>
      </w:r>
    </w:p>
    <w:p w14:paraId="25C19552" w14:textId="77777777" w:rsidR="0098115B" w:rsidRPr="00AD749E" w:rsidRDefault="00000000"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000000"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w:t>
      </w:r>
      <w:proofErr w:type="gramStart"/>
      <w:r w:rsidRPr="00C21B93">
        <w:rPr>
          <w:rFonts w:cs="Arial"/>
          <w:color w:val="000000"/>
          <w:szCs w:val="22"/>
          <w:lang w:val="en-GB" w:eastAsia="en-GB"/>
        </w:rPr>
        <w:t>schizophrenia</w:t>
      </w:r>
      <w:proofErr w:type="gramEnd"/>
      <w:r w:rsidRPr="00C21B93">
        <w:rPr>
          <w:rFonts w:cs="Arial"/>
          <w:color w:val="000000"/>
          <w:szCs w:val="22"/>
          <w:lang w:val="en-GB" w:eastAsia="en-GB"/>
        </w:rPr>
        <w:t xml:space="preserve">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DB6248">
      <w:headerReference w:type="default" r:id="rId24"/>
      <w:footerReference w:type="default" r:id="rId25"/>
      <w:footerReference w:type="first" r:id="rId26"/>
      <w:pgSz w:w="11906" w:h="16838" w:code="9"/>
      <w:pgMar w:top="284" w:right="1134" w:bottom="680"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D71F" w14:textId="77777777" w:rsidR="00491159" w:rsidRDefault="00491159">
      <w:r>
        <w:separator/>
      </w:r>
    </w:p>
  </w:endnote>
  <w:endnote w:type="continuationSeparator" w:id="0">
    <w:p w14:paraId="4B818B00" w14:textId="77777777" w:rsidR="00491159" w:rsidRDefault="0049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charset w:val="00"/>
    <w:family w:val="auto"/>
    <w:pitch w:val="variable"/>
    <w:sig w:usb0="E00002FF" w:usb1="5000785B" w:usb2="00000000" w:usb3="00000000" w:csb0="0000019F" w:csb1="00000000"/>
  </w:font>
  <w:font w:name="Helvetica Neue">
    <w:altName w:val="Malgun Gothic"/>
    <w:charset w:val="00"/>
    <w:family w:val="auto"/>
    <w:pitch w:val="variable"/>
    <w:sig w:usb0="00000003" w:usb1="500079DB" w:usb2="0000001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2E0A" w14:textId="77777777" w:rsidR="00491159" w:rsidRDefault="00491159">
      <w:r>
        <w:separator/>
      </w:r>
    </w:p>
  </w:footnote>
  <w:footnote w:type="continuationSeparator" w:id="0">
    <w:p w14:paraId="50A40B5B" w14:textId="77777777" w:rsidR="00491159" w:rsidRDefault="0049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D3834"/>
    <w:rsid w:val="001F6046"/>
    <w:rsid w:val="002364AA"/>
    <w:rsid w:val="002670D2"/>
    <w:rsid w:val="003574F0"/>
    <w:rsid w:val="003B352C"/>
    <w:rsid w:val="003E2EF3"/>
    <w:rsid w:val="003F34DD"/>
    <w:rsid w:val="00491159"/>
    <w:rsid w:val="004E2991"/>
    <w:rsid w:val="00634787"/>
    <w:rsid w:val="00652A81"/>
    <w:rsid w:val="00692C43"/>
    <w:rsid w:val="006A667C"/>
    <w:rsid w:val="006E1A59"/>
    <w:rsid w:val="006F52E4"/>
    <w:rsid w:val="0071280A"/>
    <w:rsid w:val="00721A88"/>
    <w:rsid w:val="007318C9"/>
    <w:rsid w:val="008007F5"/>
    <w:rsid w:val="00812D4E"/>
    <w:rsid w:val="00867D2A"/>
    <w:rsid w:val="008C1811"/>
    <w:rsid w:val="008F59A9"/>
    <w:rsid w:val="0098115B"/>
    <w:rsid w:val="009950C0"/>
    <w:rsid w:val="009E463A"/>
    <w:rsid w:val="00A73CC2"/>
    <w:rsid w:val="00AA7905"/>
    <w:rsid w:val="00AC13ED"/>
    <w:rsid w:val="00AE7A34"/>
    <w:rsid w:val="00B82C2F"/>
    <w:rsid w:val="00B85D1C"/>
    <w:rsid w:val="00BB09A8"/>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B6248"/>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22</Pages>
  <Words>7631</Words>
  <Characters>43501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Donna Andrews</cp:lastModifiedBy>
  <cp:revision>2</cp:revision>
  <cp:lastPrinted>1901-01-01T00:00:00Z</cp:lastPrinted>
  <dcterms:created xsi:type="dcterms:W3CDTF">2023-05-04T18:28:00Z</dcterms:created>
  <dcterms:modified xsi:type="dcterms:W3CDTF">2023-05-04T18:28:00Z</dcterms:modified>
</cp:coreProperties>
</file>